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0CE049B" w14:textId="77777777" w:rsidTr="0041512A">
        <w:tc>
          <w:tcPr>
            <w:tcW w:w="2263" w:type="dxa"/>
          </w:tcPr>
          <w:p w14:paraId="6CB986B6" w14:textId="55E0E6DD" w:rsidR="0041512A" w:rsidRDefault="001D7374" w:rsidP="0041512A">
            <w:pPr>
              <w:spacing w:before="120" w:after="120"/>
            </w:pPr>
            <w:hyperlink r:id="rId5" w:history="1">
              <w:r w:rsidR="00B00052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2471F1D9" w14:textId="6DD19746" w:rsidR="0041512A" w:rsidRDefault="007C71D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C01233">
              <w:rPr>
                <w:b/>
                <w:color w:val="006600"/>
                <w:sz w:val="40"/>
                <w:szCs w:val="40"/>
                <w:u w:val="none"/>
              </w:rPr>
              <w:t>generi di Monopolio</w:t>
            </w:r>
          </w:p>
        </w:tc>
        <w:tc>
          <w:tcPr>
            <w:tcW w:w="1979" w:type="dxa"/>
          </w:tcPr>
          <w:p w14:paraId="4257E3E1" w14:textId="37BC3AC2" w:rsidR="0041512A" w:rsidRPr="0041512A" w:rsidRDefault="001D7374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D57278B" w14:textId="77777777" w:rsidTr="0041512A">
        <w:tc>
          <w:tcPr>
            <w:tcW w:w="9629" w:type="dxa"/>
            <w:gridSpan w:val="3"/>
          </w:tcPr>
          <w:p w14:paraId="3A938E4B" w14:textId="65809FD2" w:rsidR="00F33A15" w:rsidRPr="00C01233" w:rsidRDefault="000447A9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C9801CA" w14:textId="77777777" w:rsidR="00C01233" w:rsidRPr="00C01233" w:rsidRDefault="00C01233" w:rsidP="00C01233">
            <w:pPr>
              <w:pStyle w:val="NormaleWeb"/>
              <w:spacing w:before="0" w:beforeAutospacing="0" w:after="120" w:afterAutospacing="0"/>
              <w:ind w:left="306" w:right="312" w:hanging="164"/>
              <w:jc w:val="both"/>
              <w:rPr>
                <w:rFonts w:ascii="Arial" w:hAnsi="Arial" w:cs="Arial"/>
                <w:b/>
                <w:bCs/>
                <w:color w:val="1C2024"/>
                <w:spacing w:val="3"/>
                <w:sz w:val="20"/>
                <w:szCs w:val="20"/>
                <w:u w:val="none"/>
              </w:rPr>
            </w:pPr>
            <w:r w:rsidRPr="00C01233">
              <w:rPr>
                <w:rFonts w:ascii="Arial" w:hAnsi="Arial" w:cs="Arial"/>
                <w:b/>
                <w:bCs/>
                <w:color w:val="1C2024"/>
                <w:spacing w:val="3"/>
                <w:sz w:val="20"/>
                <w:szCs w:val="20"/>
                <w:u w:val="none"/>
              </w:rPr>
              <w:t>La vendita dei generi di monopolio sul territorio nazionale può essere effettuata attraverso: </w:t>
            </w:r>
          </w:p>
          <w:p w14:paraId="5E8963DE" w14:textId="77777777" w:rsidR="00C01233" w:rsidRPr="00C01233" w:rsidRDefault="00C01233" w:rsidP="00C01233">
            <w:pPr>
              <w:numPr>
                <w:ilvl w:val="0"/>
                <w:numId w:val="9"/>
              </w:numPr>
              <w:spacing w:after="120"/>
              <w:ind w:left="447" w:right="312" w:hanging="305"/>
              <w:jc w:val="both"/>
              <w:rPr>
                <w:color w:val="1C2024"/>
                <w:spacing w:val="3"/>
                <w:sz w:val="20"/>
                <w:szCs w:val="20"/>
                <w:u w:val="none"/>
              </w:rPr>
            </w:pPr>
            <w:r w:rsidRPr="00C01233">
              <w:rPr>
                <w:color w:val="1C2024"/>
                <w:spacing w:val="3"/>
                <w:sz w:val="20"/>
                <w:szCs w:val="20"/>
                <w:u w:val="none"/>
              </w:rPr>
              <w:t>rivendite ordinarie: in questa tipologia rientra la normale tabaccheria, accessibile al pubblico, che espone il numero della concessione sull'apposita insegna a "T".</w:t>
            </w:r>
          </w:p>
          <w:p w14:paraId="57C93269" w14:textId="25AB895B" w:rsidR="00C01233" w:rsidRPr="00C01233" w:rsidRDefault="00C01233" w:rsidP="00C01233">
            <w:pPr>
              <w:numPr>
                <w:ilvl w:val="0"/>
                <w:numId w:val="9"/>
              </w:numPr>
              <w:spacing w:after="120"/>
              <w:ind w:left="447" w:right="312" w:hanging="305"/>
              <w:jc w:val="both"/>
              <w:rPr>
                <w:color w:val="1C2024"/>
                <w:spacing w:val="3"/>
                <w:sz w:val="20"/>
                <w:szCs w:val="20"/>
                <w:u w:val="none"/>
              </w:rPr>
            </w:pPr>
            <w:r w:rsidRPr="00C01233">
              <w:rPr>
                <w:color w:val="1C2024"/>
                <w:spacing w:val="3"/>
                <w:sz w:val="20"/>
                <w:szCs w:val="20"/>
                <w:u w:val="none"/>
              </w:rPr>
              <w:t xml:space="preserve">rivendite speciali: in questa categoria rientrano quelle ubicate presso particolari strutture quali porti, </w:t>
            </w:r>
            <w:r w:rsidR="000447A9" w:rsidRPr="00C01233">
              <w:rPr>
                <w:color w:val="1C2024"/>
                <w:spacing w:val="3"/>
                <w:sz w:val="20"/>
                <w:szCs w:val="20"/>
                <w:u w:val="none"/>
              </w:rPr>
              <w:t>aeroporti</w:t>
            </w:r>
            <w:r w:rsidRPr="00C01233">
              <w:rPr>
                <w:color w:val="1C2024"/>
                <w:spacing w:val="3"/>
                <w:sz w:val="20"/>
                <w:szCs w:val="20"/>
                <w:u w:val="none"/>
              </w:rPr>
              <w:t xml:space="preserve">, stazioni </w:t>
            </w:r>
            <w:r w:rsidR="000447A9" w:rsidRPr="00C01233">
              <w:rPr>
                <w:color w:val="1C2024"/>
                <w:spacing w:val="3"/>
                <w:sz w:val="20"/>
                <w:szCs w:val="20"/>
                <w:u w:val="none"/>
              </w:rPr>
              <w:t>ferroviarie</w:t>
            </w:r>
            <w:r w:rsidRPr="00C01233">
              <w:rPr>
                <w:color w:val="1C2024"/>
                <w:spacing w:val="3"/>
                <w:sz w:val="20"/>
                <w:szCs w:val="20"/>
                <w:u w:val="none"/>
              </w:rPr>
              <w:t>, aree di servizio automobilistiche, caserme, istituti penali, ecc.</w:t>
            </w:r>
          </w:p>
          <w:p w14:paraId="5C9FBC29" w14:textId="77777777" w:rsidR="00C01233" w:rsidRPr="00C01233" w:rsidRDefault="00C01233" w:rsidP="00C01233">
            <w:pPr>
              <w:numPr>
                <w:ilvl w:val="0"/>
                <w:numId w:val="9"/>
              </w:numPr>
              <w:spacing w:after="120"/>
              <w:ind w:left="447" w:right="312" w:hanging="305"/>
              <w:jc w:val="both"/>
              <w:rPr>
                <w:color w:val="1C2024"/>
                <w:spacing w:val="3"/>
                <w:sz w:val="20"/>
                <w:szCs w:val="20"/>
                <w:u w:val="none"/>
              </w:rPr>
            </w:pPr>
            <w:r w:rsidRPr="00C01233">
              <w:rPr>
                <w:color w:val="1C2024"/>
                <w:spacing w:val="3"/>
                <w:sz w:val="20"/>
                <w:szCs w:val="20"/>
                <w:u w:val="none"/>
              </w:rPr>
              <w:t>patentini: vengono istituiti nei bar di rilevante frequentazione, dotati di sala da intrattenimento per il pubblico, i cui titolari si riforniscono presso la rivendita ordinaria più vicina</w:t>
            </w:r>
          </w:p>
          <w:p w14:paraId="77025ED0" w14:textId="77777777" w:rsidR="00C01233" w:rsidRPr="00C01233" w:rsidRDefault="00C01233" w:rsidP="00C01233">
            <w:pPr>
              <w:numPr>
                <w:ilvl w:val="0"/>
                <w:numId w:val="9"/>
              </w:numPr>
              <w:spacing w:after="120"/>
              <w:ind w:left="447" w:right="312" w:hanging="305"/>
              <w:jc w:val="both"/>
              <w:rPr>
                <w:color w:val="1C2024"/>
                <w:spacing w:val="3"/>
                <w:sz w:val="20"/>
                <w:szCs w:val="20"/>
                <w:u w:val="none"/>
              </w:rPr>
            </w:pPr>
            <w:r w:rsidRPr="00C01233">
              <w:rPr>
                <w:color w:val="1C2024"/>
                <w:spacing w:val="3"/>
                <w:sz w:val="20"/>
                <w:szCs w:val="20"/>
                <w:u w:val="none"/>
              </w:rPr>
              <w:t>distributori automatici: vengono installati a cura del rivenditore nelle immediate vicinanze del locale sede della rivendita. </w:t>
            </w:r>
          </w:p>
          <w:p w14:paraId="30FC3D50" w14:textId="77777777" w:rsidR="00C01233" w:rsidRPr="00C01233" w:rsidRDefault="00C01233" w:rsidP="00C01233">
            <w:pPr>
              <w:pStyle w:val="NormaleWeb"/>
              <w:spacing w:before="0" w:beforeAutospacing="0" w:after="120" w:afterAutospacing="0"/>
              <w:ind w:left="447" w:right="312" w:hanging="305"/>
              <w:jc w:val="both"/>
              <w:rPr>
                <w:rFonts w:ascii="Arial" w:hAnsi="Arial" w:cs="Arial"/>
                <w:color w:val="1C2024"/>
                <w:spacing w:val="3"/>
                <w:sz w:val="20"/>
                <w:szCs w:val="20"/>
                <w:u w:val="none"/>
              </w:rPr>
            </w:pPr>
            <w:r w:rsidRPr="00C01233">
              <w:rPr>
                <w:rFonts w:ascii="Arial" w:hAnsi="Arial" w:cs="Arial"/>
                <w:color w:val="1C2024"/>
                <w:spacing w:val="3"/>
                <w:sz w:val="20"/>
                <w:szCs w:val="20"/>
                <w:u w:val="none"/>
              </w:rPr>
              <w:t>Chi vuole avviare l'attività deve presentare domanda di concessione all'Agenzia delle Dogane e dei Monopoli</w:t>
            </w:r>
            <w:r w:rsidRPr="00C01233">
              <w:rPr>
                <w:rStyle w:val="Enfasigrassetto"/>
                <w:rFonts w:ascii="Arial" w:hAnsi="Arial" w:cs="Arial"/>
                <w:color w:val="1C2024"/>
                <w:spacing w:val="3"/>
                <w:sz w:val="20"/>
                <w:szCs w:val="20"/>
                <w:u w:val="none"/>
              </w:rPr>
              <w:t> </w:t>
            </w:r>
            <w:r w:rsidRPr="00C01233">
              <w:rPr>
                <w:rFonts w:ascii="Arial" w:hAnsi="Arial" w:cs="Arial"/>
                <w:color w:val="1C2024"/>
                <w:spacing w:val="3"/>
                <w:sz w:val="20"/>
                <w:szCs w:val="20"/>
                <w:u w:val="none"/>
              </w:rPr>
              <w:t>come previsto dalla </w:t>
            </w:r>
            <w:hyperlink r:id="rId7" w:tgtFrame="_blank" w:history="1">
              <w:r w:rsidRPr="00905E67">
                <w:rPr>
                  <w:rStyle w:val="Collegamentoipertestuale"/>
                  <w:rFonts w:ascii="Arial" w:hAnsi="Arial" w:cs="Arial"/>
                  <w:b/>
                  <w:bCs/>
                  <w:spacing w:val="3"/>
                  <w:sz w:val="20"/>
                  <w:szCs w:val="20"/>
                  <w:u w:val="none"/>
                </w:rPr>
                <w:t>Legge 22/12/1957, n. 1293</w:t>
              </w:r>
            </w:hyperlink>
            <w:r w:rsidRPr="00905E67">
              <w:rPr>
                <w:rFonts w:ascii="Arial" w:hAnsi="Arial" w:cs="Arial"/>
                <w:b/>
                <w:bCs/>
                <w:color w:val="0000FF"/>
                <w:spacing w:val="3"/>
                <w:sz w:val="20"/>
                <w:szCs w:val="20"/>
                <w:u w:val="none"/>
              </w:rPr>
              <w:t>.</w:t>
            </w:r>
          </w:p>
          <w:p w14:paraId="3EE90B82" w14:textId="0294B3FE" w:rsidR="00EB5819" w:rsidRDefault="00EB5819" w:rsidP="000447A9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È fatto d</w:t>
            </w:r>
            <w:r w:rsidRPr="00B875C4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ivieto di vendita </w:t>
            </w:r>
            <w:r w:rsidR="00C01233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di tabacco da fumo</w:t>
            </w:r>
            <w:r w:rsidRPr="00B875C4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a minori di anni 18 </w:t>
            </w:r>
            <w:r w:rsidRPr="00B875C4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– </w:t>
            </w:r>
            <w:r w:rsidRPr="00B875C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art. 1 Ordinanza del Ministero della Salute del 26 giugno 2013 A coloro che commercializzano sigarette elettroniche, con presenza di nicotina, </w:t>
            </w:r>
            <w:r w:rsidRPr="003A291E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è vietata la vendita ai minori di anni 18</w:t>
            </w:r>
            <w:r w:rsidR="000447A9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EE998EC" w14:textId="3A9B6706" w:rsidR="000447A9" w:rsidRDefault="000447A9" w:rsidP="000447A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L’attività può essere esercitata in </w:t>
            </w:r>
            <w:r w:rsidRPr="000447A9">
              <w:rPr>
                <w:color w:val="000000"/>
                <w:sz w:val="20"/>
                <w:szCs w:val="20"/>
                <w:u w:val="none"/>
              </w:rPr>
              <w:t>abbinamento a esercizi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di </w:t>
            </w:r>
            <w:hyperlink r:id="rId8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9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10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>
              <w:rPr>
                <w:rStyle w:val="Collegamentoipertestuale"/>
                <w:b/>
                <w:bCs/>
                <w:sz w:val="20"/>
                <w:szCs w:val="20"/>
                <w:u w:val="none"/>
              </w:rPr>
              <w:t xml:space="preserve"> – </w:t>
            </w:r>
            <w:hyperlink r:id="rId11" w:history="1">
              <w:r w:rsidRPr="000447A9">
                <w:rPr>
                  <w:rStyle w:val="Collegamentoipertestuale"/>
                  <w:b/>
                  <w:bCs/>
                  <w:sz w:val="20"/>
                  <w:szCs w:val="20"/>
                </w:rPr>
                <w:t>BAR</w:t>
              </w:r>
            </w:hyperlink>
            <w:r>
              <w:rPr>
                <w:rStyle w:val="Collegamentoipertestuale"/>
                <w:b/>
                <w:bCs/>
                <w:sz w:val="20"/>
                <w:szCs w:val="20"/>
                <w:u w:val="none"/>
              </w:rPr>
              <w:t>,</w:t>
            </w:r>
            <w:r w:rsidRPr="00E336B3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sz w:val="20"/>
                <w:szCs w:val="20"/>
                <w:u w:val="none"/>
              </w:rPr>
              <w:t>osservando i prescritti requisiti soggettivi, oggettivi e di programmazione.</w:t>
            </w:r>
          </w:p>
          <w:p w14:paraId="15D2BBFB" w14:textId="77777777" w:rsidR="007C71D5" w:rsidRPr="00631237" w:rsidRDefault="007C71D5" w:rsidP="007C71D5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4987DE37" w14:textId="77777777" w:rsidR="00276654" w:rsidRPr="000447A9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0447A9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13C1706D" w14:textId="36B099B9" w:rsidR="00C01233" w:rsidRDefault="00C01233" w:rsidP="0055678F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</w:t>
            </w:r>
            <w:r w:rsidR="007C71D5"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attivare l’attività di vendita al dettaglio di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generi di monopolio</w:t>
            </w:r>
            <w:r w:rsidR="007C71D5"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occorre presentare </w:t>
            </w:r>
            <w:r w:rsidR="007C71D5" w:rsidRPr="00903BBE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 xml:space="preserve">istanza </w:t>
            </w:r>
            <w:r w:rsidR="00EB5819" w:rsidRPr="00903BBE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a</w:t>
            </w:r>
            <w:r w:rsidR="007C71D5" w:rsidRPr="00903BBE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ll’Agenzia delle Dogane e Monopoli</w:t>
            </w:r>
            <w:r w:rsidR="007C71D5" w:rsidRPr="00772702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="007C71D5"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l’ottenimento della prescritta autorizzazione. </w:t>
            </w:r>
          </w:p>
          <w:p w14:paraId="7C64B6EC" w14:textId="57828F03" w:rsidR="007C71D5" w:rsidRPr="00772702" w:rsidRDefault="007C71D5" w:rsidP="003F791B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L’istanza </w:t>
            </w:r>
            <w:r w:rsidR="0055678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può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essere allegata alla SCIA Condizionata</w:t>
            </w:r>
            <w:r w:rsidR="003F791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inizio dell’attività</w:t>
            </w:r>
            <w:r w:rsidR="003F791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vendita dei prodotti complementari,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che il SUAP inoltrerà all’Agenzia delle Dogane e Monopoli.</w:t>
            </w:r>
          </w:p>
          <w:p w14:paraId="611EC345" w14:textId="7D1F6ECE" w:rsidR="003F791B" w:rsidRPr="00772702" w:rsidRDefault="003F791B" w:rsidP="003F791B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63123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772702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dell’attività di vendita al dettaglio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generi di monopolio in complementarietà di altri prodotti</w:t>
            </w:r>
            <w:r w:rsidRPr="0077270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è soggetto alla presentazione di </w:t>
            </w:r>
            <w:r w:rsidRPr="0077270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Condizionata</w:t>
            </w:r>
            <w:r w:rsidRPr="00772702">
              <w:rPr>
                <w:color w:val="auto"/>
                <w:sz w:val="20"/>
                <w:szCs w:val="20"/>
                <w:u w:val="none"/>
              </w:rPr>
              <w:t xml:space="preserve">, da compilare e inoltrare mediante lo sportello telematico </w:t>
            </w:r>
            <w:hyperlink r:id="rId12" w:history="1">
              <w:hyperlink r:id="rId13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772702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772702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Pr="00772702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7436134B" w14:textId="6984F436" w:rsidR="003F791B" w:rsidRDefault="003F791B" w:rsidP="003F791B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</w:rPr>
            </w:pPr>
            <w:r w:rsidRPr="00751D8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L’avvio</w:t>
            </w:r>
            <w:r w:rsidRPr="00C517D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dell’attività di vendita al dettaglio in negozio di vicinato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prodotti alimentari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soggetto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 Unica o SCIA Condizionata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14" w:history="1">
              <w:r w:rsidRPr="00C517D5">
                <w:rPr>
                  <w:rStyle w:val="Collegamentoipertestuale"/>
                  <w:b/>
                  <w:sz w:val="20"/>
                  <w:szCs w:val="20"/>
                </w:rPr>
                <w:t xml:space="preserve">Impresainungiorno.gov.it </w:t>
              </w:r>
              <w:r w:rsidRPr="00C517D5">
                <w:rPr>
                  <w:rStyle w:val="Collegamentoipertestuale"/>
                  <w:sz w:val="20"/>
                  <w:szCs w:val="20"/>
                </w:rPr>
                <w:t xml:space="preserve"> </w:t>
              </w:r>
            </w:hyperlink>
          </w:p>
          <w:p w14:paraId="598F0D4B" w14:textId="416DCA00" w:rsidR="003F791B" w:rsidRDefault="003F791B" w:rsidP="003F791B">
            <w:pPr>
              <w:spacing w:after="120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Commercio al dettaglio in area privata; </w:t>
            </w:r>
            <w:r w:rsidRPr="00BD6D7F">
              <w:rPr>
                <w:bCs/>
                <w:color w:val="auto"/>
                <w:sz w:val="20"/>
                <w:szCs w:val="20"/>
                <w:u w:val="none"/>
              </w:rPr>
              <w:t>selezionare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:</w:t>
            </w:r>
          </w:p>
          <w:p w14:paraId="5FFDE98F" w14:textId="77777777" w:rsidR="003F791B" w:rsidRDefault="003F791B" w:rsidP="003F791B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2AF601B2" w14:textId="77777777" w:rsidR="003F791B" w:rsidRDefault="003F791B" w:rsidP="003F791B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3AABCEF9" w14:textId="77777777" w:rsidR="003F791B" w:rsidRPr="00DE69A3" w:rsidRDefault="003F791B" w:rsidP="003F791B">
            <w:pPr>
              <w:pStyle w:val="Paragrafoelenco"/>
              <w:numPr>
                <w:ilvl w:val="0"/>
                <w:numId w:val="8"/>
              </w:numPr>
              <w:spacing w:after="120" w:line="259" w:lineRule="auto"/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C3000F8" w14:textId="04CA7522" w:rsidR="003F791B" w:rsidRDefault="003F791B" w:rsidP="00631237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A seguire </w:t>
            </w:r>
            <w:r w:rsidRPr="00CD592E">
              <w:rPr>
                <w:color w:val="auto"/>
                <w:sz w:val="20"/>
                <w:szCs w:val="20"/>
                <w:u w:val="none"/>
              </w:rPr>
              <w:t xml:space="preserve">scegliere: </w:t>
            </w:r>
            <w:r w:rsidRPr="00DE69A3">
              <w:rPr>
                <w:b/>
                <w:bCs/>
                <w:color w:val="auto"/>
                <w:sz w:val="20"/>
                <w:szCs w:val="20"/>
                <w:u w:val="none"/>
              </w:rPr>
              <w:t>settore alimentare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(conferma)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 e allegare </w:t>
            </w:r>
            <w:hyperlink r:id="rId15" w:history="1">
              <w:r w:rsidRPr="00081265">
                <w:rPr>
                  <w:rStyle w:val="Collegamentoipertestuale"/>
                  <w:b/>
                  <w:sz w:val="20"/>
                  <w:szCs w:val="20"/>
                </w:rPr>
                <w:t>Modulo.</w:t>
              </w:r>
            </w:hyperlink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FAE4EC7" w14:textId="28514003" w:rsidR="003F791B" w:rsidRDefault="003F791B" w:rsidP="0063123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3123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63123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E45B64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3D111CF5" w14:textId="77777777" w:rsidR="003F791B" w:rsidRDefault="003F791B" w:rsidP="00631237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5490B5B9" w14:textId="01F54E40" w:rsidR="003F791B" w:rsidRDefault="003F791B" w:rsidP="003F791B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</w:p>
          <w:p w14:paraId="3AC79C28" w14:textId="16BE7923" w:rsidR="00F14839" w:rsidRDefault="00F14839" w:rsidP="003F791B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</w:pPr>
          </w:p>
          <w:p w14:paraId="47EAFEDB" w14:textId="6ACD48B5" w:rsidR="003F791B" w:rsidRDefault="003F791B" w:rsidP="003F791B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3123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631237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6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1D3FE88F" w14:textId="77777777" w:rsidR="003F791B" w:rsidRDefault="003F791B" w:rsidP="003F791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46E694DD" w14:textId="77777777" w:rsidR="003F791B" w:rsidRDefault="003F791B" w:rsidP="00631237">
            <w:pPr>
              <w:ind w:left="164" w:right="312"/>
              <w:jc w:val="both"/>
            </w:pPr>
          </w:p>
          <w:p w14:paraId="433C6396" w14:textId="16437D7B" w:rsidR="003C2D46" w:rsidRDefault="001D7374" w:rsidP="003C2D4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7" w:history="1">
              <w:r w:rsidR="003C2D46">
                <w:rPr>
                  <w:rStyle w:val="Collegamentoipertestuale"/>
                  <w:b/>
                  <w:bCs/>
                </w:rPr>
                <w:t>Alle</w:t>
              </w:r>
              <w:r w:rsidR="003C2D46">
                <w:rPr>
                  <w:rStyle w:val="Collegamentoipertestuale"/>
                  <w:b/>
                  <w:bCs/>
                </w:rPr>
                <w:t>g</w:t>
              </w:r>
              <w:r w:rsidR="003C2D46">
                <w:rPr>
                  <w:rStyle w:val="Collegamentoipertestuale"/>
                  <w:b/>
                  <w:bCs/>
                </w:rPr>
                <w:t>a</w:t>
              </w:r>
              <w:r w:rsidR="003C2D46">
                <w:rPr>
                  <w:rStyle w:val="Collegamentoipertestuale"/>
                  <w:b/>
                  <w:bCs/>
                </w:rPr>
                <w:t>ti</w:t>
              </w:r>
            </w:hyperlink>
            <w:r w:rsidR="003C2D46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3C2D46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3C2D4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41E639F5" w14:textId="77777777" w:rsidR="003C2D46" w:rsidRDefault="003C2D46" w:rsidP="003C2D46">
            <w:pPr>
              <w:ind w:left="164" w:right="312"/>
              <w:jc w:val="both"/>
            </w:pPr>
          </w:p>
          <w:p w14:paraId="5004F1A7" w14:textId="6E72B713" w:rsidR="000F5332" w:rsidRDefault="001D7374" w:rsidP="000F533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8" w:history="1">
              <w:r w:rsidR="000F5332">
                <w:rPr>
                  <w:rStyle w:val="Collegamentoipertestuale"/>
                  <w:b/>
                  <w:bCs/>
                </w:rPr>
                <w:t>O</w:t>
              </w:r>
              <w:r w:rsidR="000F5332">
                <w:rPr>
                  <w:rStyle w:val="Collegamentoipertestuale"/>
                  <w:b/>
                </w:rPr>
                <w:t xml:space="preserve">neri </w:t>
              </w:r>
              <w:r w:rsidR="000F5332">
                <w:rPr>
                  <w:rStyle w:val="Collegamentoipertestuale"/>
                  <w:b/>
                  <w:bCs/>
                </w:rPr>
                <w:t>istru</w:t>
              </w:r>
              <w:r w:rsidR="000F5332">
                <w:rPr>
                  <w:rStyle w:val="Collegamentoipertestuale"/>
                  <w:b/>
                  <w:bCs/>
                </w:rPr>
                <w:t>t</w:t>
              </w:r>
              <w:r w:rsidR="000F5332">
                <w:rPr>
                  <w:rStyle w:val="Collegamentoipertestuale"/>
                  <w:b/>
                  <w:bCs/>
                </w:rPr>
                <w:t>tori</w:t>
              </w:r>
            </w:hyperlink>
          </w:p>
          <w:p w14:paraId="68B7688F" w14:textId="77777777" w:rsidR="000F5332" w:rsidRPr="000F5332" w:rsidRDefault="000F5332" w:rsidP="00903BBE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0F5332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0F5332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5293C4F8" w14:textId="23D8D235" w:rsidR="003F791B" w:rsidRPr="00744B7C" w:rsidRDefault="003F791B" w:rsidP="003F791B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2C33DDA0" w14:textId="3CDEF848" w:rsidR="003F791B" w:rsidRDefault="001D7374" w:rsidP="00166F41">
            <w:pPr>
              <w:pStyle w:val="Rientrocorpodeltesto"/>
              <w:tabs>
                <w:tab w:val="left" w:pos="3150"/>
              </w:tabs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19" w:history="1">
              <w:r w:rsidR="00166F41">
                <w:rPr>
                  <w:rStyle w:val="Collegamentoipertestuale"/>
                  <w:b/>
                </w:rPr>
                <w:t>Tempisti</w:t>
              </w:r>
              <w:r w:rsidR="00166F41">
                <w:rPr>
                  <w:rStyle w:val="Collegamentoipertestuale"/>
                  <w:b/>
                </w:rPr>
                <w:t>c</w:t>
              </w:r>
              <w:r w:rsidR="00166F41">
                <w:rPr>
                  <w:rStyle w:val="Collegamentoipertestuale"/>
                  <w:b/>
                </w:rPr>
                <w:t>a</w:t>
              </w:r>
            </w:hyperlink>
            <w:r w:rsidR="003F791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50277380" w14:textId="77777777" w:rsidR="00166F41" w:rsidRDefault="00166F41" w:rsidP="003F791B">
            <w:pPr>
              <w:ind w:left="164" w:right="312"/>
              <w:jc w:val="both"/>
            </w:pPr>
          </w:p>
          <w:p w14:paraId="5CCA1060" w14:textId="17FC0E82" w:rsidR="003F791B" w:rsidRPr="00744B7C" w:rsidRDefault="001D7374" w:rsidP="003F791B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20" w:history="1">
              <w:r w:rsidR="003F791B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r w:rsidR="003F791B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A</w:t>
              </w:r>
              <w:r w:rsidR="003F791B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TECO </w:t>
              </w:r>
            </w:hyperlink>
            <w:r w:rsidR="003F791B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3F791B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4EE31721" w14:textId="77777777" w:rsidR="003F791B" w:rsidRDefault="003F791B" w:rsidP="003F791B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641225C" w14:textId="1E9663CD" w:rsidR="003F791B" w:rsidRPr="00945B26" w:rsidRDefault="001D7374" w:rsidP="00AE0944">
            <w:pPr>
              <w:pStyle w:val="Paragrafoelenco"/>
              <w:spacing w:after="24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21" w:history="1">
              <w:r w:rsidR="003F791B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3F791B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3F791B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3F791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E45B64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E45B6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 </w:t>
            </w:r>
            <w:hyperlink r:id="rId22" w:history="1">
              <w:r w:rsidR="00E45B64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E45B64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E45B64">
                <w:rPr>
                  <w:rStyle w:val="Collegamentoipertestuale"/>
                  <w:b/>
                  <w:sz w:val="20"/>
                  <w:szCs w:val="20"/>
                </w:rPr>
                <w:t>rte 2^</w:t>
              </w:r>
            </w:hyperlink>
            <w:r w:rsidR="00E45B64">
              <w:rPr>
                <w:b/>
                <w:sz w:val="20"/>
                <w:szCs w:val="20"/>
              </w:rPr>
              <w:t xml:space="preserve"> </w:t>
            </w:r>
            <w:r w:rsidR="00AE0944" w:rsidRPr="00621DF0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7D6FED7D" w14:textId="77777777" w:rsidR="00276654" w:rsidRDefault="003F791B" w:rsidP="00905E67">
            <w:pPr>
              <w:ind w:left="164" w:right="312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23" w:history="1">
              <w:r w:rsidR="00905E67" w:rsidRPr="00905E67">
                <w:rPr>
                  <w:rStyle w:val="Collegamentoipertestuale"/>
                  <w:b/>
                  <w:bCs/>
                  <w:sz w:val="20"/>
                  <w:szCs w:val="20"/>
                </w:rPr>
                <w:t xml:space="preserve">Agenzia delle dogane e </w:t>
              </w:r>
              <w:r w:rsidR="00905E67" w:rsidRPr="00905E67">
                <w:rPr>
                  <w:rStyle w:val="Collegamentoipertestuale"/>
                  <w:b/>
                  <w:bCs/>
                  <w:sz w:val="20"/>
                  <w:szCs w:val="20"/>
                </w:rPr>
                <w:t>d</w:t>
              </w:r>
              <w:r w:rsidR="00905E67" w:rsidRPr="00905E67">
                <w:rPr>
                  <w:rStyle w:val="Collegamentoipertestuale"/>
                  <w:b/>
                  <w:bCs/>
                  <w:sz w:val="20"/>
                  <w:szCs w:val="20"/>
                </w:rPr>
                <w:t>ei Monopoli - Ufficio dei Monopoli per la Lombardia</w:t>
              </w:r>
            </w:hyperlink>
          </w:p>
          <w:p w14:paraId="490C70FB" w14:textId="7FA1CE2F" w:rsidR="00905E67" w:rsidRPr="0041512A" w:rsidRDefault="00905E67" w:rsidP="00905E67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39501F3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FB3"/>
    <w:multiLevelType w:val="multilevel"/>
    <w:tmpl w:val="5CF2071E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447A9"/>
    <w:rsid w:val="00072DDA"/>
    <w:rsid w:val="000E4B7E"/>
    <w:rsid w:val="000F5332"/>
    <w:rsid w:val="00112873"/>
    <w:rsid w:val="00117F1E"/>
    <w:rsid w:val="00166F41"/>
    <w:rsid w:val="001737FA"/>
    <w:rsid w:val="001D7374"/>
    <w:rsid w:val="002210DE"/>
    <w:rsid w:val="0023487B"/>
    <w:rsid w:val="00276654"/>
    <w:rsid w:val="002A5D7C"/>
    <w:rsid w:val="002A6285"/>
    <w:rsid w:val="002B375D"/>
    <w:rsid w:val="00315C4B"/>
    <w:rsid w:val="00342D58"/>
    <w:rsid w:val="003A4A32"/>
    <w:rsid w:val="003C2D46"/>
    <w:rsid w:val="003C5FBA"/>
    <w:rsid w:val="003F791B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5678F"/>
    <w:rsid w:val="005930C1"/>
    <w:rsid w:val="005C68B2"/>
    <w:rsid w:val="005C720B"/>
    <w:rsid w:val="00621A5C"/>
    <w:rsid w:val="00631237"/>
    <w:rsid w:val="00651378"/>
    <w:rsid w:val="00692827"/>
    <w:rsid w:val="006B29D2"/>
    <w:rsid w:val="006B3A13"/>
    <w:rsid w:val="006C7151"/>
    <w:rsid w:val="00713564"/>
    <w:rsid w:val="00737DA2"/>
    <w:rsid w:val="00740370"/>
    <w:rsid w:val="00746376"/>
    <w:rsid w:val="00772702"/>
    <w:rsid w:val="007C5CE9"/>
    <w:rsid w:val="007C71D5"/>
    <w:rsid w:val="0082478D"/>
    <w:rsid w:val="00897F79"/>
    <w:rsid w:val="00903BBE"/>
    <w:rsid w:val="00905E67"/>
    <w:rsid w:val="00923A2F"/>
    <w:rsid w:val="00945B26"/>
    <w:rsid w:val="009A4645"/>
    <w:rsid w:val="009B1337"/>
    <w:rsid w:val="009C0C4E"/>
    <w:rsid w:val="00A06B50"/>
    <w:rsid w:val="00A26594"/>
    <w:rsid w:val="00AE0944"/>
    <w:rsid w:val="00B00052"/>
    <w:rsid w:val="00B0731C"/>
    <w:rsid w:val="00B66F7C"/>
    <w:rsid w:val="00B8421A"/>
    <w:rsid w:val="00BA4E54"/>
    <w:rsid w:val="00BF42AE"/>
    <w:rsid w:val="00C01233"/>
    <w:rsid w:val="00C75D34"/>
    <w:rsid w:val="00CD592E"/>
    <w:rsid w:val="00D16B5E"/>
    <w:rsid w:val="00D77C1E"/>
    <w:rsid w:val="00DC5DC3"/>
    <w:rsid w:val="00DF0435"/>
    <w:rsid w:val="00E25843"/>
    <w:rsid w:val="00E45B64"/>
    <w:rsid w:val="00E660BB"/>
    <w:rsid w:val="00EB5819"/>
    <w:rsid w:val="00EE371A"/>
    <w:rsid w:val="00F14839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C00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styleId="NormaleWeb">
    <w:name w:val="Normal (Web)"/>
    <w:basedOn w:val="Normale"/>
    <w:uiPriority w:val="99"/>
    <w:semiHidden/>
    <w:unhideWhenUsed/>
    <w:rsid w:val="00C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5E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E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5E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E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5E6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1%20Negozi%20di%20vicinato.docx" TargetMode="External"/><Relationship Id="rId13" Type="http://schemas.openxmlformats.org/officeDocument/2006/relationships/hyperlink" Target="https://www.impresainungiorno.gov.it/web/guest/comune?codCatastale=L581" TargetMode="External"/><Relationship Id="rId18" Type="http://schemas.openxmlformats.org/officeDocument/2006/relationships/hyperlink" Target="Definizioni/20%20CF%20Tariffe%20commercio%20fisso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Definizioni/Riferimenti%20normativi%20e%20di%20controllo.docx" TargetMode="External"/><Relationship Id="rId7" Type="http://schemas.openxmlformats.org/officeDocument/2006/relationships/hyperlink" Target="https://www.indicenormativa.it/norma/urn:nir:stato:legge:1957-12-22;1293" TargetMode="External"/><Relationship Id="rId12" Type="http://schemas.openxmlformats.org/officeDocument/2006/relationships/hyperlink" Target="http://www.impresainungiorno.gov.it/web/guest/comune?codCatastale=B137" TargetMode="External"/><Relationship Id="rId17" Type="http://schemas.openxmlformats.org/officeDocument/2006/relationships/hyperlink" Target="Definizioni/14%20CF%20Allegati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0" Type="http://schemas.openxmlformats.org/officeDocument/2006/relationships/hyperlink" Target="../../ATECO/Ateco%20Commercio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../4%20Settore%20Pubblici%20esercizi/PE1%20Autorizzazione%20somministrazione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Modulistica/11%20CF%20domanda%20Tabaccheria.pdf" TargetMode="External"/><Relationship Id="rId23" Type="http://schemas.openxmlformats.org/officeDocument/2006/relationships/hyperlink" Target="https://www.adm.gov.it/portale/-/lombard-2" TargetMode="External"/><Relationship Id="rId10" Type="http://schemas.openxmlformats.org/officeDocument/2006/relationships/hyperlink" Target="CF04%20Grandi%20strutture%20di%20vendita.docx" TargetMode="External"/><Relationship Id="rId19" Type="http://schemas.openxmlformats.org/officeDocument/2006/relationships/hyperlink" Target="Definizioni/19%20CF%20Tempist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F03%20Media%20struttura%20di%20vendita.docx" TargetMode="External"/><Relationship Id="rId14" Type="http://schemas.openxmlformats.org/officeDocument/2006/relationships/hyperlink" Target="http://www.impresainungiorno.gov.it/web/guest/comune?codCatastale=L581" TargetMode="External"/><Relationship Id="rId22" Type="http://schemas.openxmlformats.org/officeDocument/2006/relationships/hyperlink" Target="file:///C:\Walter\sportello%20unico\Progetto%20PUC\TUR\Parte%202%5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45</cp:revision>
  <dcterms:created xsi:type="dcterms:W3CDTF">2018-07-21T09:50:00Z</dcterms:created>
  <dcterms:modified xsi:type="dcterms:W3CDTF">2021-04-24T14:57:00Z</dcterms:modified>
</cp:coreProperties>
</file>